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7204" w14:textId="6DB30B9D" w:rsidR="00C54488" w:rsidRDefault="002343C2" w:rsidP="007601B5">
      <w:pPr>
        <w:spacing w:line="276" w:lineRule="auto"/>
        <w:rPr>
          <w:rFonts w:asciiTheme="minorHAnsi" w:hAnsiTheme="minorHAnsi" w:cs="Arial"/>
        </w:rPr>
      </w:pPr>
      <w:r w:rsidRPr="00FC74A4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9A2F47B" wp14:editId="70FB0760">
            <wp:simplePos x="0" y="0"/>
            <wp:positionH relativeFrom="column">
              <wp:posOffset>4853305</wp:posOffset>
            </wp:positionH>
            <wp:positionV relativeFrom="paragraph">
              <wp:posOffset>-106680</wp:posOffset>
            </wp:positionV>
            <wp:extent cx="916940" cy="569595"/>
            <wp:effectExtent l="0" t="0" r="0" b="0"/>
            <wp:wrapTight wrapText="bothSides">
              <wp:wrapPolygon edited="0">
                <wp:start x="0" y="0"/>
                <wp:lineTo x="0" y="20227"/>
                <wp:lineTo x="20942" y="20227"/>
                <wp:lineTo x="20942" y="0"/>
                <wp:lineTo x="0" y="0"/>
              </wp:wrapPolygon>
            </wp:wrapTight>
            <wp:docPr id="2" name="Picture 2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inline distT="0" distB="0" distL="0" distR="0" wp14:anchorId="2192BBE6" wp14:editId="08D182F2">
            <wp:extent cx="1423035" cy="643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SCC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90" cy="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46DD" w14:textId="77777777" w:rsidR="002343C2" w:rsidRDefault="002343C2" w:rsidP="007601B5">
      <w:pPr>
        <w:spacing w:line="276" w:lineRule="auto"/>
        <w:rPr>
          <w:rFonts w:asciiTheme="minorHAnsi" w:hAnsiTheme="minorHAnsi" w:cs="Arial"/>
        </w:rPr>
      </w:pPr>
    </w:p>
    <w:p w14:paraId="1BEF86B8" w14:textId="77777777" w:rsidR="002343C2" w:rsidRDefault="002343C2" w:rsidP="007601B5">
      <w:pPr>
        <w:spacing w:line="276" w:lineRule="auto"/>
        <w:rPr>
          <w:rFonts w:asciiTheme="minorHAnsi" w:hAnsiTheme="minorHAnsi" w:cs="Arial"/>
        </w:rPr>
      </w:pPr>
    </w:p>
    <w:p w14:paraId="698992A7" w14:textId="7DE00B6B" w:rsidR="00AF5924" w:rsidRDefault="00AF5924" w:rsidP="007601B5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29 March 2018</w:t>
      </w:r>
    </w:p>
    <w:p w14:paraId="776E1B2A" w14:textId="77777777" w:rsidR="00AF5924" w:rsidRDefault="00AF5924" w:rsidP="007601B5">
      <w:pPr>
        <w:spacing w:line="276" w:lineRule="auto"/>
        <w:rPr>
          <w:rFonts w:asciiTheme="minorHAnsi" w:hAnsiTheme="minorHAnsi" w:cs="Arial"/>
        </w:rPr>
      </w:pPr>
    </w:p>
    <w:p w14:paraId="728D77B0" w14:textId="5DCC087A" w:rsidR="009D372C" w:rsidRPr="00E800CD" w:rsidRDefault="00472EDB" w:rsidP="007601B5">
      <w:pPr>
        <w:spacing w:line="276" w:lineRule="auto"/>
        <w:rPr>
          <w:rFonts w:asciiTheme="minorHAnsi" w:hAnsiTheme="minorHAnsi" w:cs="Arial"/>
        </w:rPr>
      </w:pPr>
      <w:r w:rsidRPr="00E800CD">
        <w:rPr>
          <w:rFonts w:asciiTheme="minorHAnsi" w:hAnsiTheme="minorHAnsi" w:cs="Arial"/>
        </w:rPr>
        <w:t>Dear colleague</w:t>
      </w:r>
    </w:p>
    <w:p w14:paraId="788568BD" w14:textId="77777777" w:rsidR="009D372C" w:rsidRPr="00E800CD" w:rsidRDefault="009D372C" w:rsidP="007601B5">
      <w:pPr>
        <w:spacing w:line="276" w:lineRule="auto"/>
        <w:ind w:left="360"/>
        <w:rPr>
          <w:rFonts w:asciiTheme="minorHAnsi" w:hAnsiTheme="minorHAnsi" w:cs="Arial"/>
        </w:rPr>
      </w:pPr>
    </w:p>
    <w:p w14:paraId="67611CAB" w14:textId="411FFE45" w:rsidR="009D372C" w:rsidRPr="00E800CD" w:rsidRDefault="009D372C" w:rsidP="007601B5">
      <w:pPr>
        <w:spacing w:line="276" w:lineRule="auto"/>
        <w:rPr>
          <w:rFonts w:asciiTheme="minorHAnsi" w:hAnsiTheme="minorHAnsi" w:cs="Arial"/>
        </w:rPr>
      </w:pPr>
      <w:r w:rsidRPr="00E800CD">
        <w:rPr>
          <w:rFonts w:asciiTheme="minorHAnsi" w:hAnsiTheme="minorHAnsi" w:cs="Arial"/>
        </w:rPr>
        <w:t xml:space="preserve">Thank you to everyone who responded to the public consultation on the prescribing of over the counter medicines </w:t>
      </w:r>
      <w:r w:rsidR="00F84D1E" w:rsidRPr="00E800CD">
        <w:rPr>
          <w:rFonts w:asciiTheme="minorHAnsi" w:hAnsiTheme="minorHAnsi" w:cs="Arial"/>
        </w:rPr>
        <w:t>(</w:t>
      </w:r>
      <w:proofErr w:type="spellStart"/>
      <w:r w:rsidR="00A438F2" w:rsidRPr="00E800CD">
        <w:rPr>
          <w:rFonts w:asciiTheme="minorHAnsi" w:hAnsiTheme="minorHAnsi" w:cs="Arial"/>
        </w:rPr>
        <w:t>medicines</w:t>
      </w:r>
      <w:proofErr w:type="spellEnd"/>
      <w:r w:rsidR="00A438F2" w:rsidRPr="00E800CD">
        <w:rPr>
          <w:rFonts w:asciiTheme="minorHAnsi" w:hAnsiTheme="minorHAnsi" w:cs="Arial"/>
        </w:rPr>
        <w:t xml:space="preserve"> </w:t>
      </w:r>
      <w:r w:rsidR="00F84D1E" w:rsidRPr="00E800CD">
        <w:rPr>
          <w:rFonts w:asciiTheme="minorHAnsi" w:hAnsiTheme="minorHAnsi" w:cs="Arial"/>
        </w:rPr>
        <w:t xml:space="preserve">which don’t need a prescription or </w:t>
      </w:r>
      <w:r w:rsidR="00A438F2" w:rsidRPr="00E800CD">
        <w:rPr>
          <w:rFonts w:asciiTheme="minorHAnsi" w:hAnsiTheme="minorHAnsi" w:cs="Arial"/>
        </w:rPr>
        <w:t xml:space="preserve">a </w:t>
      </w:r>
      <w:r w:rsidR="00F84D1E" w:rsidRPr="00E800CD">
        <w:rPr>
          <w:rFonts w:asciiTheme="minorHAnsi" w:hAnsiTheme="minorHAnsi" w:cs="Arial"/>
        </w:rPr>
        <w:t xml:space="preserve">visit to a GP) </w:t>
      </w:r>
      <w:r w:rsidRPr="00E800CD">
        <w:rPr>
          <w:rFonts w:asciiTheme="minorHAnsi" w:hAnsiTheme="minorHAnsi" w:cs="Arial"/>
        </w:rPr>
        <w:t>which ran from December 2017 to March 2018.</w:t>
      </w:r>
    </w:p>
    <w:p w14:paraId="3C51BE83" w14:textId="77777777" w:rsidR="002F19D2" w:rsidRPr="00E800CD" w:rsidRDefault="002F19D2" w:rsidP="007601B5">
      <w:pPr>
        <w:spacing w:line="276" w:lineRule="auto"/>
        <w:rPr>
          <w:rFonts w:asciiTheme="minorHAnsi" w:hAnsiTheme="minorHAnsi" w:cs="Arial"/>
        </w:rPr>
      </w:pPr>
    </w:p>
    <w:p w14:paraId="27C54226" w14:textId="575FBE9F" w:rsidR="009D372C" w:rsidRPr="00E800CD" w:rsidRDefault="009D372C" w:rsidP="007601B5">
      <w:pPr>
        <w:spacing w:line="276" w:lineRule="auto"/>
        <w:rPr>
          <w:rFonts w:asciiTheme="minorHAnsi" w:hAnsiTheme="minorHAnsi" w:cs="Arial"/>
        </w:rPr>
      </w:pPr>
      <w:r w:rsidRPr="00E800CD">
        <w:rPr>
          <w:rFonts w:asciiTheme="minorHAnsi" w:hAnsiTheme="minorHAnsi" w:cs="Arial"/>
        </w:rPr>
        <w:t xml:space="preserve">Today NHS England has published the </w:t>
      </w:r>
      <w:hyperlink r:id="rId7" w:history="1">
        <w:r w:rsidRPr="00A55625">
          <w:rPr>
            <w:rStyle w:val="Hyperlink"/>
            <w:rFonts w:asciiTheme="minorHAnsi" w:hAnsiTheme="minorHAnsi" w:cs="Arial"/>
          </w:rPr>
          <w:t>final guidance for C</w:t>
        </w:r>
        <w:bookmarkStart w:id="0" w:name="_GoBack"/>
        <w:bookmarkEnd w:id="0"/>
        <w:r w:rsidRPr="00A55625">
          <w:rPr>
            <w:rStyle w:val="Hyperlink"/>
            <w:rFonts w:asciiTheme="minorHAnsi" w:hAnsiTheme="minorHAnsi" w:cs="Arial"/>
          </w:rPr>
          <w:t>CGs</w:t>
        </w:r>
      </w:hyperlink>
      <w:r w:rsidR="00A55625">
        <w:rPr>
          <w:rFonts w:asciiTheme="minorHAnsi" w:hAnsiTheme="minorHAnsi" w:cs="Arial"/>
        </w:rPr>
        <w:t xml:space="preserve"> </w:t>
      </w:r>
      <w:r w:rsidR="00145938" w:rsidRPr="00E800CD">
        <w:rPr>
          <w:rFonts w:asciiTheme="minorHAnsi" w:hAnsiTheme="minorHAnsi" w:cs="Arial"/>
        </w:rPr>
        <w:t>and we</w:t>
      </w:r>
      <w:r w:rsidR="00C71655" w:rsidRPr="00E800CD">
        <w:rPr>
          <w:rFonts w:asciiTheme="minorHAnsi" w:hAnsiTheme="minorHAnsi" w:cs="Arial"/>
        </w:rPr>
        <w:t xml:space="preserve"> are writing</w:t>
      </w:r>
      <w:r w:rsidR="00AA6FF9" w:rsidRPr="00E800CD">
        <w:rPr>
          <w:rFonts w:asciiTheme="minorHAnsi" w:hAnsiTheme="minorHAnsi" w:cs="Arial"/>
        </w:rPr>
        <w:t xml:space="preserve"> to </w:t>
      </w:r>
      <w:r w:rsidRPr="00E800CD">
        <w:rPr>
          <w:rFonts w:asciiTheme="minorHAnsi" w:hAnsiTheme="minorHAnsi" w:cs="Arial"/>
        </w:rPr>
        <w:t>highlight the plan for implementation</w:t>
      </w:r>
      <w:r w:rsidR="0022584F" w:rsidRPr="00E800CD">
        <w:rPr>
          <w:rFonts w:asciiTheme="minorHAnsi" w:hAnsiTheme="minorHAnsi" w:cs="Arial"/>
        </w:rPr>
        <w:t xml:space="preserve"> this year</w:t>
      </w:r>
      <w:r w:rsidRPr="00E800CD">
        <w:rPr>
          <w:rFonts w:asciiTheme="minorHAnsi" w:hAnsiTheme="minorHAnsi" w:cs="Arial"/>
        </w:rPr>
        <w:t>.</w:t>
      </w:r>
    </w:p>
    <w:p w14:paraId="633D80A4" w14:textId="77777777" w:rsidR="00542E0A" w:rsidRPr="00E800CD" w:rsidRDefault="00542E0A" w:rsidP="007601B5">
      <w:pPr>
        <w:spacing w:line="276" w:lineRule="auto"/>
        <w:rPr>
          <w:rFonts w:asciiTheme="minorHAnsi" w:hAnsiTheme="minorHAnsi" w:cs="Arial"/>
          <w:bCs/>
        </w:rPr>
      </w:pPr>
    </w:p>
    <w:p w14:paraId="528F110C" w14:textId="24EF66C1" w:rsidR="002F19D2" w:rsidRPr="00E800CD" w:rsidRDefault="002F19D2" w:rsidP="007601B5">
      <w:pPr>
        <w:spacing w:line="276" w:lineRule="auto"/>
        <w:rPr>
          <w:rFonts w:asciiTheme="minorHAnsi" w:hAnsiTheme="minorHAnsi" w:cs="Arial"/>
          <w:b/>
          <w:bCs/>
        </w:rPr>
      </w:pPr>
      <w:r w:rsidRPr="00E800CD">
        <w:rPr>
          <w:rFonts w:asciiTheme="minorHAnsi" w:hAnsiTheme="minorHAnsi" w:cs="Arial"/>
          <w:b/>
          <w:bCs/>
        </w:rPr>
        <w:t>What has changed?</w:t>
      </w:r>
    </w:p>
    <w:p w14:paraId="0139B347" w14:textId="3C34C932" w:rsidR="008D778F" w:rsidRPr="00E800CD" w:rsidRDefault="00834991" w:rsidP="007601B5">
      <w:pPr>
        <w:spacing w:line="276" w:lineRule="auto"/>
        <w:rPr>
          <w:rFonts w:asciiTheme="minorHAnsi" w:hAnsiTheme="minorHAnsi" w:cs="Arial"/>
        </w:rPr>
      </w:pPr>
      <w:r w:rsidRPr="00E800CD">
        <w:rPr>
          <w:rFonts w:asciiTheme="minorHAnsi" w:hAnsiTheme="minorHAnsi" w:cs="Arial"/>
        </w:rPr>
        <w:t>The</w:t>
      </w:r>
      <w:r w:rsidR="0022584F" w:rsidRPr="00E800CD">
        <w:rPr>
          <w:rFonts w:asciiTheme="minorHAnsi" w:hAnsiTheme="minorHAnsi" w:cs="Arial"/>
        </w:rPr>
        <w:t xml:space="preserve"> </w:t>
      </w:r>
      <w:r w:rsidRPr="00E800CD">
        <w:rPr>
          <w:rFonts w:asciiTheme="minorHAnsi" w:hAnsiTheme="minorHAnsi" w:cs="Arial"/>
        </w:rPr>
        <w:t>guidance</w:t>
      </w:r>
      <w:r w:rsidR="00C54488">
        <w:rPr>
          <w:rFonts w:asciiTheme="minorHAnsi" w:hAnsiTheme="minorHAnsi" w:cs="Arial"/>
        </w:rPr>
        <w:t xml:space="preserve"> </w:t>
      </w:r>
      <w:r w:rsidR="00A438F2" w:rsidRPr="00E800CD">
        <w:rPr>
          <w:rFonts w:asciiTheme="minorHAnsi" w:hAnsiTheme="minorHAnsi" w:cs="Arial"/>
        </w:rPr>
        <w:t>has been</w:t>
      </w:r>
      <w:r w:rsidRPr="00E800CD">
        <w:rPr>
          <w:rFonts w:asciiTheme="minorHAnsi" w:hAnsiTheme="minorHAnsi" w:cs="Arial"/>
        </w:rPr>
        <w:t xml:space="preserve"> revi</w:t>
      </w:r>
      <w:r w:rsidR="00722BD4">
        <w:rPr>
          <w:rFonts w:asciiTheme="minorHAnsi" w:hAnsiTheme="minorHAnsi" w:cs="Arial"/>
        </w:rPr>
        <w:t xml:space="preserve">ewed </w:t>
      </w:r>
      <w:r w:rsidRPr="00E800CD">
        <w:rPr>
          <w:rFonts w:asciiTheme="minorHAnsi" w:hAnsiTheme="minorHAnsi" w:cs="Arial"/>
        </w:rPr>
        <w:t>by the</w:t>
      </w:r>
      <w:r w:rsidR="00FF2F07" w:rsidRPr="00E800CD">
        <w:rPr>
          <w:rFonts w:asciiTheme="minorHAnsi" w:hAnsiTheme="minorHAnsi" w:cs="Arial"/>
        </w:rPr>
        <w:t xml:space="preserve"> </w:t>
      </w:r>
      <w:r w:rsidRPr="00E800CD">
        <w:rPr>
          <w:rFonts w:asciiTheme="minorHAnsi" w:hAnsiTheme="minorHAnsi" w:cs="Arial"/>
        </w:rPr>
        <w:t xml:space="preserve">joint </w:t>
      </w:r>
      <w:r w:rsidR="00C54488">
        <w:rPr>
          <w:rFonts w:asciiTheme="minorHAnsi" w:hAnsiTheme="minorHAnsi" w:cs="Arial"/>
        </w:rPr>
        <w:t>NHS England and NHS Clinical Commissioners</w:t>
      </w:r>
      <w:r w:rsidR="00722BD4">
        <w:rPr>
          <w:rFonts w:asciiTheme="minorHAnsi" w:hAnsiTheme="minorHAnsi" w:cs="Arial"/>
        </w:rPr>
        <w:t xml:space="preserve"> </w:t>
      </w:r>
      <w:r w:rsidRPr="00E800CD">
        <w:rPr>
          <w:rFonts w:asciiTheme="minorHAnsi" w:hAnsiTheme="minorHAnsi" w:cs="Arial"/>
        </w:rPr>
        <w:t xml:space="preserve">clinical working group </w:t>
      </w:r>
      <w:r w:rsidR="00722BD4">
        <w:rPr>
          <w:rFonts w:asciiTheme="minorHAnsi" w:hAnsiTheme="minorHAnsi" w:cs="Arial"/>
        </w:rPr>
        <w:t xml:space="preserve">reflecting feedback from </w:t>
      </w:r>
      <w:r w:rsidRPr="00E800CD">
        <w:rPr>
          <w:rFonts w:asciiTheme="minorHAnsi" w:hAnsiTheme="minorHAnsi" w:cs="Arial"/>
        </w:rPr>
        <w:t>the</w:t>
      </w:r>
      <w:r w:rsidR="0022584F" w:rsidRPr="00E800CD">
        <w:rPr>
          <w:rFonts w:asciiTheme="minorHAnsi" w:hAnsiTheme="minorHAnsi" w:cs="Arial"/>
        </w:rPr>
        <w:t xml:space="preserve"> consultation</w:t>
      </w:r>
      <w:r w:rsidR="00722BD4">
        <w:rPr>
          <w:rFonts w:asciiTheme="minorHAnsi" w:hAnsiTheme="minorHAnsi" w:cs="Arial"/>
        </w:rPr>
        <w:t xml:space="preserve">. The guidance </w:t>
      </w:r>
      <w:r w:rsidR="0022584F" w:rsidRPr="00E800CD">
        <w:rPr>
          <w:rFonts w:asciiTheme="minorHAnsi" w:hAnsiTheme="minorHAnsi" w:cs="Arial"/>
        </w:rPr>
        <w:t xml:space="preserve">covers </w:t>
      </w:r>
      <w:r w:rsidR="00FE1526" w:rsidRPr="00E800CD">
        <w:rPr>
          <w:rFonts w:asciiTheme="minorHAnsi" w:hAnsiTheme="minorHAnsi" w:cs="Arial"/>
        </w:rPr>
        <w:t>35 minor health condition</w:t>
      </w:r>
      <w:r w:rsidRPr="00E800CD">
        <w:rPr>
          <w:rFonts w:asciiTheme="minorHAnsi" w:hAnsiTheme="minorHAnsi" w:cs="Arial"/>
        </w:rPr>
        <w:t>s</w:t>
      </w:r>
      <w:r w:rsidR="00AF5924">
        <w:rPr>
          <w:rFonts w:asciiTheme="minorHAnsi" w:hAnsiTheme="minorHAnsi" w:cs="Arial"/>
        </w:rPr>
        <w:t xml:space="preserve"> </w:t>
      </w:r>
      <w:r w:rsidRPr="00E800CD">
        <w:rPr>
          <w:rFonts w:asciiTheme="minorHAnsi" w:hAnsiTheme="minorHAnsi" w:cs="Arial"/>
        </w:rPr>
        <w:t xml:space="preserve">which are either </w:t>
      </w:r>
      <w:r w:rsidR="009C2552" w:rsidRPr="00E800CD">
        <w:rPr>
          <w:rFonts w:asciiTheme="minorHAnsi" w:hAnsiTheme="minorHAnsi" w:cs="Arial"/>
        </w:rPr>
        <w:t>‘</w:t>
      </w:r>
      <w:r w:rsidRPr="00E800CD">
        <w:rPr>
          <w:rFonts w:asciiTheme="minorHAnsi" w:hAnsiTheme="minorHAnsi" w:cs="Arial"/>
        </w:rPr>
        <w:t>self-limiting</w:t>
      </w:r>
      <w:r w:rsidR="009C2552" w:rsidRPr="00E800CD">
        <w:rPr>
          <w:rFonts w:asciiTheme="minorHAnsi" w:hAnsiTheme="minorHAnsi" w:cs="Arial"/>
        </w:rPr>
        <w:t>’</w:t>
      </w:r>
      <w:r w:rsidRPr="00E800CD">
        <w:rPr>
          <w:rFonts w:asciiTheme="minorHAnsi" w:hAnsiTheme="minorHAnsi" w:cs="Arial"/>
        </w:rPr>
        <w:t xml:space="preserve"> or suitable for </w:t>
      </w:r>
      <w:r w:rsidR="009C2552" w:rsidRPr="00E800CD">
        <w:rPr>
          <w:rFonts w:asciiTheme="minorHAnsi" w:hAnsiTheme="minorHAnsi" w:cs="Arial"/>
        </w:rPr>
        <w:t>‘</w:t>
      </w:r>
      <w:r w:rsidRPr="00E800CD">
        <w:rPr>
          <w:rFonts w:asciiTheme="minorHAnsi" w:hAnsiTheme="minorHAnsi" w:cs="Arial"/>
        </w:rPr>
        <w:t>self-care</w:t>
      </w:r>
      <w:r w:rsidR="009C2552" w:rsidRPr="00E800CD">
        <w:rPr>
          <w:rFonts w:asciiTheme="minorHAnsi" w:hAnsiTheme="minorHAnsi" w:cs="Arial"/>
        </w:rPr>
        <w:t>’</w:t>
      </w:r>
      <w:r w:rsidR="0022584F" w:rsidRPr="00E800CD">
        <w:rPr>
          <w:rFonts w:asciiTheme="minorHAnsi" w:hAnsiTheme="minorHAnsi" w:cs="Arial"/>
        </w:rPr>
        <w:t xml:space="preserve">. </w:t>
      </w:r>
      <w:r w:rsidR="008D778F" w:rsidRPr="00E800CD">
        <w:rPr>
          <w:rFonts w:asciiTheme="minorHAnsi" w:hAnsiTheme="minorHAnsi" w:cs="Arial"/>
        </w:rPr>
        <w:t xml:space="preserve">The new guidance recommends that, for these 35 minor conditions, medicines which are available over the counter </w:t>
      </w:r>
      <w:r w:rsidR="00424919">
        <w:rPr>
          <w:rFonts w:asciiTheme="minorHAnsi" w:hAnsiTheme="minorHAnsi" w:cs="Arial"/>
        </w:rPr>
        <w:t xml:space="preserve">should </w:t>
      </w:r>
      <w:r w:rsidR="008D778F" w:rsidRPr="00E800CD">
        <w:rPr>
          <w:rFonts w:asciiTheme="minorHAnsi" w:hAnsiTheme="minorHAnsi" w:cs="Arial"/>
        </w:rPr>
        <w:t xml:space="preserve">no longer </w:t>
      </w:r>
      <w:r w:rsidR="00424919">
        <w:rPr>
          <w:rFonts w:asciiTheme="minorHAnsi" w:hAnsiTheme="minorHAnsi" w:cs="Arial"/>
        </w:rPr>
        <w:t xml:space="preserve">be </w:t>
      </w:r>
      <w:r w:rsidR="003225FC">
        <w:rPr>
          <w:rFonts w:asciiTheme="minorHAnsi" w:hAnsiTheme="minorHAnsi" w:cs="Arial"/>
        </w:rPr>
        <w:t>routinely prescribed</w:t>
      </w:r>
      <w:r w:rsidR="008D778F" w:rsidRPr="00E800CD">
        <w:rPr>
          <w:rFonts w:asciiTheme="minorHAnsi" w:hAnsiTheme="minorHAnsi" w:cs="Arial"/>
        </w:rPr>
        <w:t>. Vitamins, minerals and probiotics are also included in the restrictions as items of limited clinical effectiveness.</w:t>
      </w:r>
    </w:p>
    <w:p w14:paraId="032A3FF2" w14:textId="5A5B7238" w:rsidR="00834991" w:rsidRPr="00E800CD" w:rsidRDefault="00834991" w:rsidP="007601B5">
      <w:pPr>
        <w:spacing w:line="276" w:lineRule="auto"/>
        <w:rPr>
          <w:rFonts w:asciiTheme="minorHAnsi" w:hAnsiTheme="minorHAnsi" w:cs="Arial"/>
        </w:rPr>
      </w:pPr>
    </w:p>
    <w:p w14:paraId="60ACF890" w14:textId="77B00E52" w:rsidR="00A438F2" w:rsidRPr="00E800CD" w:rsidRDefault="00FE1526" w:rsidP="007601B5">
      <w:pPr>
        <w:pStyle w:val="ListParagraph"/>
        <w:numPr>
          <w:ilvl w:val="0"/>
          <w:numId w:val="32"/>
        </w:numPr>
        <w:rPr>
          <w:rFonts w:eastAsia="Times New Roman" w:cs="Segoe UI"/>
          <w:color w:val="000000"/>
          <w:sz w:val="24"/>
          <w:szCs w:val="24"/>
        </w:rPr>
      </w:pPr>
      <w:r w:rsidRPr="00E800CD">
        <w:rPr>
          <w:rFonts w:eastAsia="Times New Roman"/>
          <w:color w:val="000000"/>
          <w:sz w:val="24"/>
          <w:szCs w:val="24"/>
        </w:rPr>
        <w:t xml:space="preserve">A </w:t>
      </w:r>
      <w:r w:rsidRPr="00E800CD">
        <w:rPr>
          <w:rFonts w:eastAsia="Times New Roman"/>
          <w:b/>
          <w:color w:val="000000"/>
          <w:sz w:val="24"/>
          <w:szCs w:val="24"/>
        </w:rPr>
        <w:t>self-limiting</w:t>
      </w:r>
      <w:r w:rsidRPr="00E800CD">
        <w:rPr>
          <w:rFonts w:eastAsia="Times New Roman"/>
          <w:color w:val="000000"/>
          <w:sz w:val="24"/>
          <w:szCs w:val="24"/>
        </w:rPr>
        <w:t xml:space="preserve"> </w:t>
      </w:r>
      <w:r w:rsidRPr="00E800CD">
        <w:rPr>
          <w:rFonts w:eastAsia="Times New Roman"/>
          <w:b/>
          <w:color w:val="000000"/>
          <w:sz w:val="24"/>
          <w:szCs w:val="24"/>
        </w:rPr>
        <w:t>condition</w:t>
      </w:r>
      <w:r w:rsidRPr="00E800CD">
        <w:rPr>
          <w:rFonts w:eastAsia="Times New Roman"/>
          <w:color w:val="000000"/>
          <w:sz w:val="24"/>
          <w:szCs w:val="24"/>
        </w:rPr>
        <w:t xml:space="preserve"> does not require any medical advice or treatment as it will clear up on its own, such as sore throats, coughs, colds and viruses.</w:t>
      </w:r>
    </w:p>
    <w:p w14:paraId="778EB8D4" w14:textId="77777777" w:rsidR="00E62062" w:rsidRPr="00E800CD" w:rsidRDefault="00E62062" w:rsidP="007601B5">
      <w:pPr>
        <w:pStyle w:val="ListParagraph"/>
        <w:rPr>
          <w:rFonts w:eastAsia="Times New Roman" w:cs="Segoe UI"/>
          <w:color w:val="000000"/>
          <w:sz w:val="24"/>
          <w:szCs w:val="24"/>
        </w:rPr>
      </w:pPr>
    </w:p>
    <w:p w14:paraId="3D4BCE1D" w14:textId="317384D7" w:rsidR="00FE1526" w:rsidRPr="00E800CD" w:rsidRDefault="00FE1526" w:rsidP="007601B5">
      <w:pPr>
        <w:pStyle w:val="ListParagraph"/>
        <w:numPr>
          <w:ilvl w:val="0"/>
          <w:numId w:val="32"/>
        </w:numPr>
        <w:rPr>
          <w:rFonts w:eastAsia="Times New Roman" w:cs="Segoe UI"/>
          <w:color w:val="000000"/>
          <w:sz w:val="24"/>
          <w:szCs w:val="24"/>
        </w:rPr>
      </w:pPr>
      <w:r w:rsidRPr="00E800CD">
        <w:rPr>
          <w:rFonts w:eastAsia="Times New Roman"/>
          <w:color w:val="000000"/>
          <w:sz w:val="24"/>
          <w:szCs w:val="24"/>
        </w:rPr>
        <w:t xml:space="preserve">A </w:t>
      </w:r>
      <w:r w:rsidRPr="00E800CD">
        <w:rPr>
          <w:rFonts w:eastAsia="Times New Roman"/>
          <w:b/>
          <w:color w:val="000000"/>
          <w:sz w:val="24"/>
          <w:szCs w:val="24"/>
        </w:rPr>
        <w:t>minor illness</w:t>
      </w:r>
      <w:r w:rsidRPr="00E800CD">
        <w:rPr>
          <w:rFonts w:eastAsia="Times New Roman"/>
          <w:color w:val="000000"/>
          <w:sz w:val="24"/>
          <w:szCs w:val="24"/>
        </w:rPr>
        <w:t xml:space="preserve"> </w:t>
      </w:r>
      <w:r w:rsidRPr="00E800CD">
        <w:rPr>
          <w:rFonts w:eastAsia="Times New Roman"/>
          <w:b/>
          <w:color w:val="000000"/>
          <w:sz w:val="24"/>
          <w:szCs w:val="24"/>
        </w:rPr>
        <w:t>that is suitable for</w:t>
      </w:r>
      <w:r w:rsidRPr="00E800CD">
        <w:rPr>
          <w:rFonts w:eastAsia="Times New Roman"/>
          <w:color w:val="000000"/>
          <w:sz w:val="24"/>
          <w:szCs w:val="24"/>
        </w:rPr>
        <w:t xml:space="preserve"> </w:t>
      </w:r>
      <w:r w:rsidRPr="00E800CD">
        <w:rPr>
          <w:rFonts w:eastAsia="Times New Roman"/>
          <w:b/>
          <w:color w:val="000000"/>
          <w:sz w:val="24"/>
          <w:szCs w:val="24"/>
        </w:rPr>
        <w:t>self-care</w:t>
      </w:r>
      <w:r w:rsidRPr="00E800CD">
        <w:rPr>
          <w:rFonts w:eastAsia="Times New Roman"/>
          <w:color w:val="000000"/>
          <w:sz w:val="24"/>
          <w:szCs w:val="24"/>
        </w:rPr>
        <w:t xml:space="preserve"> can be treated with items that can be purchased over the counter from a pharmacy. These conditions include</w:t>
      </w:r>
      <w:r w:rsidR="00C54488">
        <w:rPr>
          <w:rFonts w:eastAsia="Times New Roman"/>
          <w:color w:val="000000"/>
          <w:sz w:val="24"/>
          <w:szCs w:val="24"/>
        </w:rPr>
        <w:t xml:space="preserve">, for example, </w:t>
      </w:r>
      <w:r w:rsidRPr="00E800CD">
        <w:rPr>
          <w:rFonts w:eastAsia="Times New Roman"/>
          <w:color w:val="000000"/>
          <w:sz w:val="24"/>
          <w:szCs w:val="24"/>
        </w:rPr>
        <w:t>indigestion, mouth ulcers</w:t>
      </w:r>
      <w:r w:rsidR="00424919">
        <w:rPr>
          <w:rFonts w:eastAsia="Times New Roman"/>
          <w:color w:val="000000"/>
          <w:sz w:val="24"/>
          <w:szCs w:val="24"/>
        </w:rPr>
        <w:t>,</w:t>
      </w:r>
      <w:r w:rsidRPr="00E800CD">
        <w:rPr>
          <w:rFonts w:eastAsia="Times New Roman"/>
          <w:color w:val="000000"/>
          <w:sz w:val="24"/>
          <w:szCs w:val="24"/>
        </w:rPr>
        <w:t xml:space="preserve"> and warts and verruca</w:t>
      </w:r>
      <w:r w:rsidR="00C54488">
        <w:rPr>
          <w:rFonts w:eastAsia="Times New Roman"/>
          <w:color w:val="000000"/>
          <w:sz w:val="24"/>
          <w:szCs w:val="24"/>
        </w:rPr>
        <w:t>e</w:t>
      </w:r>
      <w:r w:rsidRPr="00E800CD">
        <w:rPr>
          <w:rFonts w:eastAsia="Times New Roman"/>
          <w:color w:val="000000"/>
          <w:sz w:val="24"/>
          <w:szCs w:val="24"/>
        </w:rPr>
        <w:t>.</w:t>
      </w:r>
    </w:p>
    <w:p w14:paraId="5F6859C2" w14:textId="7DACAFC9" w:rsidR="008D778F" w:rsidRPr="00E800CD" w:rsidRDefault="008D778F" w:rsidP="007601B5">
      <w:pPr>
        <w:spacing w:line="276" w:lineRule="auto"/>
        <w:rPr>
          <w:rFonts w:asciiTheme="minorHAnsi" w:hAnsiTheme="minorHAnsi" w:cs="Arial"/>
          <w:b/>
        </w:rPr>
      </w:pPr>
      <w:r w:rsidRPr="00E800CD">
        <w:rPr>
          <w:rFonts w:asciiTheme="minorHAnsi" w:hAnsiTheme="minorHAnsi" w:cs="Arial"/>
          <w:b/>
        </w:rPr>
        <w:t>When will the changes happen?</w:t>
      </w:r>
    </w:p>
    <w:p w14:paraId="070919D5" w14:textId="324D2B26" w:rsidR="008D778F" w:rsidRPr="00E800CD" w:rsidRDefault="008D778F" w:rsidP="007601B5">
      <w:pPr>
        <w:spacing w:line="276" w:lineRule="auto"/>
        <w:rPr>
          <w:rFonts w:asciiTheme="minorHAnsi" w:eastAsia="Times New Roman" w:hAnsiTheme="minorHAnsi" w:cs="Segoe UI"/>
          <w:color w:val="000000"/>
        </w:rPr>
      </w:pPr>
      <w:r w:rsidRPr="00E800CD">
        <w:rPr>
          <w:rFonts w:asciiTheme="minorHAnsi" w:hAnsiTheme="minorHAnsi" w:cs="Arial"/>
          <w:color w:val="000000"/>
        </w:rPr>
        <w:t xml:space="preserve">The commissioning guidance is addressed to CCGs and </w:t>
      </w:r>
      <w:r w:rsidR="00424919">
        <w:rPr>
          <w:rFonts w:asciiTheme="minorHAnsi" w:hAnsiTheme="minorHAnsi" w:cs="Arial"/>
          <w:color w:val="000000"/>
        </w:rPr>
        <w:t xml:space="preserve">should </w:t>
      </w:r>
      <w:r w:rsidRPr="00E800CD">
        <w:rPr>
          <w:rFonts w:asciiTheme="minorHAnsi" w:hAnsiTheme="minorHAnsi" w:cs="Arial"/>
          <w:color w:val="000000"/>
        </w:rPr>
        <w:t xml:space="preserve">now be considered by individual </w:t>
      </w:r>
      <w:r w:rsidRPr="00212207">
        <w:rPr>
          <w:rFonts w:asciiTheme="minorHAnsi" w:hAnsiTheme="minorHAnsi" w:cs="Arial"/>
          <w:color w:val="000000"/>
        </w:rPr>
        <w:t>CCG boards</w:t>
      </w:r>
      <w:r w:rsidRPr="00E800CD">
        <w:rPr>
          <w:rFonts w:asciiTheme="minorHAnsi" w:hAnsiTheme="minorHAnsi" w:cs="Arial"/>
          <w:b/>
          <w:color w:val="000000"/>
          <w:u w:val="single"/>
        </w:rPr>
        <w:t xml:space="preserve"> </w:t>
      </w:r>
      <w:r w:rsidRPr="00212207">
        <w:rPr>
          <w:rFonts w:asciiTheme="minorHAnsi" w:hAnsiTheme="minorHAnsi" w:cs="Arial"/>
          <w:color w:val="000000"/>
          <w:u w:val="single"/>
        </w:rPr>
        <w:t>which will determine the timescale for</w:t>
      </w:r>
      <w:r w:rsidR="008B17E0">
        <w:rPr>
          <w:rFonts w:asciiTheme="minorHAnsi" w:hAnsiTheme="minorHAnsi" w:cs="Arial"/>
          <w:color w:val="000000"/>
          <w:u w:val="single"/>
        </w:rPr>
        <w:t xml:space="preserve"> decision and</w:t>
      </w:r>
      <w:r w:rsidRPr="00212207">
        <w:rPr>
          <w:rFonts w:asciiTheme="minorHAnsi" w:hAnsiTheme="minorHAnsi" w:cs="Arial"/>
          <w:color w:val="000000"/>
          <w:u w:val="single"/>
        </w:rPr>
        <w:t xml:space="preserve"> implementation in their local areas</w:t>
      </w:r>
      <w:r w:rsidR="00E62062" w:rsidRPr="00212207">
        <w:rPr>
          <w:rFonts w:asciiTheme="minorHAnsi" w:hAnsiTheme="minorHAnsi" w:cs="Arial"/>
          <w:color w:val="000000"/>
          <w:u w:val="single"/>
        </w:rPr>
        <w:t xml:space="preserve"> during 2018</w:t>
      </w:r>
      <w:r w:rsidRPr="00212207">
        <w:rPr>
          <w:rFonts w:asciiTheme="minorHAnsi" w:hAnsiTheme="minorHAnsi" w:cs="Arial"/>
          <w:color w:val="000000"/>
        </w:rPr>
        <w:t xml:space="preserve">. </w:t>
      </w:r>
      <w:r w:rsidR="00A438F2" w:rsidRPr="00212207">
        <w:rPr>
          <w:rFonts w:asciiTheme="minorHAnsi" w:eastAsia="Times New Roman" w:hAnsiTheme="minorHAnsi" w:cs="Segoe UI"/>
          <w:color w:val="000000"/>
        </w:rPr>
        <w:t xml:space="preserve"> </w:t>
      </w:r>
      <w:r w:rsidRPr="00E800CD">
        <w:rPr>
          <w:rFonts w:asciiTheme="minorHAnsi" w:hAnsiTheme="minorHAnsi" w:cs="Arial"/>
        </w:rPr>
        <w:t>A range of national resources will be developed to support local implementation.</w:t>
      </w:r>
    </w:p>
    <w:p w14:paraId="00ACB080" w14:textId="77777777" w:rsidR="008D778F" w:rsidRPr="00E800CD" w:rsidRDefault="008D778F" w:rsidP="007601B5">
      <w:pPr>
        <w:shd w:val="clear" w:color="auto" w:fill="FFFFFF"/>
        <w:spacing w:line="276" w:lineRule="auto"/>
        <w:rPr>
          <w:rFonts w:asciiTheme="minorHAnsi" w:hAnsiTheme="minorHAnsi" w:cs="Arial"/>
        </w:rPr>
      </w:pPr>
    </w:p>
    <w:p w14:paraId="76633239" w14:textId="0330C2C5" w:rsidR="00AA74CE" w:rsidRPr="00E800CD" w:rsidRDefault="002F19D2" w:rsidP="007601B5">
      <w:pPr>
        <w:shd w:val="clear" w:color="auto" w:fill="FFFFFF"/>
        <w:spacing w:line="276" w:lineRule="auto"/>
        <w:rPr>
          <w:rFonts w:asciiTheme="minorHAnsi" w:eastAsia="Times New Roman" w:hAnsiTheme="minorHAnsi" w:cs="Arial"/>
          <w:b/>
          <w:color w:val="000000"/>
        </w:rPr>
      </w:pPr>
      <w:r w:rsidRPr="00E800CD">
        <w:rPr>
          <w:rFonts w:asciiTheme="minorHAnsi" w:eastAsia="Times New Roman" w:hAnsiTheme="minorHAnsi" w:cs="Arial"/>
          <w:b/>
          <w:color w:val="000000"/>
        </w:rPr>
        <w:t>Who is affected?</w:t>
      </w:r>
    </w:p>
    <w:p w14:paraId="4844A913" w14:textId="77777777" w:rsidR="007601B5" w:rsidRDefault="007601B5" w:rsidP="007601B5">
      <w:pPr>
        <w:shd w:val="clear" w:color="auto" w:fill="FFFFFF"/>
        <w:spacing w:line="276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Once CCGs have adopted the new guidance locally, it will apply to everyone who is not covered by the general or condition-specific exceptions listed in the guidance document. In relation to the exceptions, it is important to highlight:</w:t>
      </w:r>
    </w:p>
    <w:p w14:paraId="0D172862" w14:textId="77777777" w:rsidR="007601B5" w:rsidRDefault="007601B5" w:rsidP="007601B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The guidance does not apply to people with long-term or more complex conditions who will continue to get their usual prescriptions. </w:t>
      </w:r>
    </w:p>
    <w:p w14:paraId="4C74DFFD" w14:textId="77777777" w:rsidR="007601B5" w:rsidRDefault="007601B5" w:rsidP="007601B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People who receive free prescriptions will not automatically be exempt from the guidance. </w:t>
      </w:r>
    </w:p>
    <w:p w14:paraId="3AC1C314" w14:textId="77777777" w:rsidR="007601B5" w:rsidRDefault="007601B5" w:rsidP="007601B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For patients where the clinician considers that their ability to self-manage is compromised </w:t>
      </w:r>
      <w:proofErr w:type="gramStart"/>
      <w:r>
        <w:rPr>
          <w:rFonts w:ascii="Calibri" w:eastAsia="Times New Roman" w:hAnsi="Calibri"/>
          <w:color w:val="000000"/>
        </w:rPr>
        <w:t>as a consequence of</w:t>
      </w:r>
      <w:proofErr w:type="gramEnd"/>
      <w:r>
        <w:rPr>
          <w:rFonts w:ascii="Calibri" w:eastAsia="Times New Roman" w:hAnsi="Calibri"/>
          <w:color w:val="000000"/>
        </w:rPr>
        <w:t xml:space="preserve"> medical, mental health or significant social vulnerability; these patients will continue to receive prescriptions for over the counter items subject to the item being clinically effective.</w:t>
      </w:r>
    </w:p>
    <w:p w14:paraId="757B14FA" w14:textId="285563B2" w:rsidR="007601B5" w:rsidRPr="00F53D0A" w:rsidRDefault="007E5115" w:rsidP="007601B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F53D0A">
        <w:rPr>
          <w:rFonts w:ascii="Calibri" w:eastAsia="Times New Roman" w:hAnsi="Calibri"/>
          <w:color w:val="000000"/>
        </w:rPr>
        <w:t xml:space="preserve">For the </w:t>
      </w:r>
      <w:r w:rsidR="007601B5" w:rsidRPr="00F53D0A">
        <w:rPr>
          <w:rFonts w:ascii="Calibri" w:eastAsia="Times New Roman" w:hAnsi="Calibri"/>
          <w:color w:val="000000"/>
        </w:rPr>
        <w:t xml:space="preserve">self-limiting conditions, where symptom relief may be required, the general exceptions will only apply where the prescription is for an over the counter item that </w:t>
      </w:r>
      <w:r w:rsidR="003225FC">
        <w:rPr>
          <w:rFonts w:ascii="Calibri" w:eastAsia="Times New Roman" w:hAnsi="Calibri"/>
          <w:color w:val="000000"/>
        </w:rPr>
        <w:t>is</w:t>
      </w:r>
      <w:r w:rsidR="007601B5" w:rsidRPr="00F53D0A">
        <w:rPr>
          <w:rFonts w:ascii="Calibri" w:eastAsia="Times New Roman" w:hAnsi="Calibri"/>
          <w:color w:val="000000"/>
        </w:rPr>
        <w:t xml:space="preserve"> clinically </w:t>
      </w:r>
      <w:proofErr w:type="gramStart"/>
      <w:r w:rsidR="007601B5" w:rsidRPr="00F53D0A">
        <w:rPr>
          <w:rFonts w:ascii="Calibri" w:eastAsia="Times New Roman" w:hAnsi="Calibri"/>
          <w:color w:val="000000"/>
        </w:rPr>
        <w:t>effective.​</w:t>
      </w:r>
      <w:proofErr w:type="gramEnd"/>
    </w:p>
    <w:p w14:paraId="2061E7C5" w14:textId="3B8F76EF" w:rsidR="007E5115" w:rsidRPr="00F53D0A" w:rsidRDefault="007E5115" w:rsidP="007E511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F53D0A">
        <w:rPr>
          <w:rFonts w:ascii="Calibri" w:eastAsia="Times New Roman" w:hAnsi="Calibri"/>
          <w:color w:val="000000"/>
        </w:rPr>
        <w:t>For vitamins, minerals and probiotics, only the condition-specific exceptions will apply.</w:t>
      </w:r>
    </w:p>
    <w:p w14:paraId="0B1F6A6B" w14:textId="6EDE74F5" w:rsidR="00E800CD" w:rsidRPr="007601B5" w:rsidRDefault="00E800CD" w:rsidP="007601B5">
      <w:pPr>
        <w:shd w:val="clear" w:color="auto" w:fill="FFFFFF"/>
        <w:spacing w:line="276" w:lineRule="auto"/>
        <w:rPr>
          <w:rFonts w:ascii="Calibri" w:eastAsia="Times New Roman" w:hAnsi="Calibri"/>
          <w:color w:val="000000"/>
        </w:rPr>
      </w:pPr>
      <w:r w:rsidRPr="00E800CD">
        <w:rPr>
          <w:rFonts w:asciiTheme="minorHAnsi" w:hAnsiTheme="minorHAnsi" w:cs="Arial"/>
        </w:rPr>
        <w:t xml:space="preserve">The new guidance supports the NHS’s wider ambition to ensure greater value from the annual £17.4 billion medicines bill, through reducing waste, over-prescribing and over-treatment. </w:t>
      </w:r>
    </w:p>
    <w:p w14:paraId="2F31A6EE" w14:textId="77777777" w:rsidR="00E800CD" w:rsidRPr="00E800CD" w:rsidRDefault="00E800CD" w:rsidP="007601B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</w:p>
    <w:p w14:paraId="4F422F6F" w14:textId="04B38EA6" w:rsidR="00E800CD" w:rsidRPr="00E800CD" w:rsidRDefault="00E800CD" w:rsidP="007601B5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E800CD">
        <w:rPr>
          <w:rFonts w:asciiTheme="minorHAnsi" w:hAnsiTheme="minorHAnsi" w:cs="Arial"/>
        </w:rPr>
        <w:t>The intention is to implement a consistent, national framework for CCGs, and reduce variation, while taking account of local circumstances and the legal duties of CCGs to advance eq</w:t>
      </w:r>
      <w:r w:rsidR="003225FC">
        <w:rPr>
          <w:rFonts w:asciiTheme="minorHAnsi" w:hAnsiTheme="minorHAnsi" w:cs="Arial"/>
        </w:rPr>
        <w:t>uality and have regard to reducing</w:t>
      </w:r>
      <w:r w:rsidRPr="00E800CD">
        <w:rPr>
          <w:rFonts w:asciiTheme="minorHAnsi" w:hAnsiTheme="minorHAnsi" w:cs="Arial"/>
        </w:rPr>
        <w:t xml:space="preserve"> health inequalities.</w:t>
      </w:r>
    </w:p>
    <w:p w14:paraId="3922A7BE" w14:textId="77777777" w:rsidR="00E800CD" w:rsidRPr="00E800CD" w:rsidRDefault="00E800CD" w:rsidP="007601B5">
      <w:pPr>
        <w:spacing w:line="276" w:lineRule="auto"/>
        <w:rPr>
          <w:rFonts w:asciiTheme="minorHAnsi" w:hAnsiTheme="minorHAnsi" w:cs="Arial"/>
        </w:rPr>
      </w:pPr>
    </w:p>
    <w:p w14:paraId="07AD8FBB" w14:textId="57E9C001" w:rsidR="00F84D1E" w:rsidRPr="00E800CD" w:rsidRDefault="00424919" w:rsidP="007601B5">
      <w:pPr>
        <w:pStyle w:val="Bodyparagraph"/>
      </w:pPr>
      <w:r>
        <w:t xml:space="preserve">The new guidance also supports the </w:t>
      </w:r>
      <w:r w:rsidR="00722BD4">
        <w:t xml:space="preserve">aim of the </w:t>
      </w:r>
      <w:r w:rsidR="00E800CD" w:rsidRPr="00E800CD">
        <w:t xml:space="preserve">NHS </w:t>
      </w:r>
      <w:r w:rsidR="00722BD4">
        <w:t xml:space="preserve">to </w:t>
      </w:r>
      <w:r w:rsidR="00E800CD" w:rsidRPr="00E800CD">
        <w:t>promot</w:t>
      </w:r>
      <w:r w:rsidR="00722BD4">
        <w:t xml:space="preserve">e </w:t>
      </w:r>
      <w:r w:rsidR="00E800CD" w:rsidRPr="00E800CD">
        <w:t>self-care where possible for minor conditions, and highlight</w:t>
      </w:r>
      <w:r w:rsidR="00722BD4">
        <w:t xml:space="preserve"> </w:t>
      </w:r>
      <w:r w:rsidR="00E800CD" w:rsidRPr="00E800CD">
        <w:t>the</w:t>
      </w:r>
      <w:r w:rsidR="00722BD4">
        <w:t xml:space="preserve"> </w:t>
      </w:r>
      <w:r w:rsidR="00E800CD" w:rsidRPr="00E800CD">
        <w:t>altern</w:t>
      </w:r>
      <w:r w:rsidR="003225FC">
        <w:t>atives to making a GP appointment</w:t>
      </w:r>
      <w:r w:rsidR="00E800CD" w:rsidRPr="00E800CD">
        <w:t xml:space="preserve"> or taking a medicine. </w:t>
      </w:r>
      <w:r w:rsidR="00722BD4">
        <w:t xml:space="preserve"> </w:t>
      </w:r>
      <w:r w:rsidR="00FC0FD8" w:rsidRPr="00E800CD">
        <w:t>For further information on self</w:t>
      </w:r>
      <w:r>
        <w:t>-</w:t>
      </w:r>
      <w:r w:rsidR="00FC0FD8" w:rsidRPr="00E800CD">
        <w:t xml:space="preserve">care please </w:t>
      </w:r>
      <w:r w:rsidR="00212207">
        <w:t xml:space="preserve">visit </w:t>
      </w:r>
      <w:hyperlink r:id="rId8" w:history="1">
        <w:r w:rsidR="00212207" w:rsidRPr="00212207">
          <w:rPr>
            <w:rStyle w:val="Hyperlink"/>
          </w:rPr>
          <w:t>NHS Choices</w:t>
        </w:r>
      </w:hyperlink>
    </w:p>
    <w:p w14:paraId="4D56E2A5" w14:textId="77777777" w:rsidR="00FC0FD8" w:rsidRPr="00E800CD" w:rsidRDefault="00FC0FD8" w:rsidP="007601B5">
      <w:pPr>
        <w:pStyle w:val="Bodyparagraph"/>
      </w:pPr>
    </w:p>
    <w:p w14:paraId="1941AA7C" w14:textId="43D073B7" w:rsidR="00FC0FD8" w:rsidRDefault="00FC0FD8" w:rsidP="007601B5">
      <w:pPr>
        <w:pStyle w:val="Bodyparagraph"/>
      </w:pPr>
      <w:r w:rsidRPr="00E800CD">
        <w:t>Kind regards</w:t>
      </w:r>
    </w:p>
    <w:p w14:paraId="09178CCC" w14:textId="77777777" w:rsidR="00FB6CFB" w:rsidRDefault="00FB6CFB" w:rsidP="007601B5">
      <w:pPr>
        <w:pStyle w:val="Bodyparagraph"/>
      </w:pPr>
    </w:p>
    <w:p w14:paraId="2606F5B0" w14:textId="3F4E7770" w:rsidR="00FB6CFB" w:rsidRPr="00E800CD" w:rsidRDefault="00FB6CFB" w:rsidP="007601B5">
      <w:pPr>
        <w:pStyle w:val="Bodyparagraph"/>
      </w:pPr>
      <w:r>
        <w:t xml:space="preserve">               </w:t>
      </w:r>
      <w:r>
        <w:rPr>
          <w:noProof/>
          <w:lang w:val="en-US"/>
        </w:rPr>
        <w:drawing>
          <wp:inline distT="0" distB="0" distL="0" distR="0" wp14:anchorId="4076CD33" wp14:editId="28AAE636">
            <wp:extent cx="167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am%20Jack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11196F5" wp14:editId="4AD9301C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202057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83" y="21176"/>
                <wp:lineTo x="213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62906" w14:textId="77777777" w:rsidR="00FC0FD8" w:rsidRPr="00E800CD" w:rsidRDefault="00FC0FD8" w:rsidP="007601B5">
      <w:pPr>
        <w:pStyle w:val="Bodyparagraph"/>
      </w:pPr>
    </w:p>
    <w:p w14:paraId="01C679FC" w14:textId="77777777" w:rsidR="00FC0FD8" w:rsidRPr="00E800CD" w:rsidRDefault="00FC0FD8" w:rsidP="007601B5">
      <w:pPr>
        <w:pStyle w:val="Bodyparagraph"/>
      </w:pPr>
    </w:p>
    <w:p w14:paraId="36426E45" w14:textId="4A2CECB4" w:rsidR="00FC0FD8" w:rsidRPr="00FB6CFB" w:rsidRDefault="00FC0FD8" w:rsidP="007601B5">
      <w:pPr>
        <w:pStyle w:val="Bodyparagraph"/>
        <w:rPr>
          <w:b/>
        </w:rPr>
      </w:pPr>
      <w:r w:rsidRPr="00FB6CFB">
        <w:rPr>
          <w:b/>
        </w:rPr>
        <w:t>Dr Bruce Warner</w:t>
      </w:r>
      <w:r w:rsidRPr="00FB6CFB">
        <w:rPr>
          <w:b/>
        </w:rPr>
        <w:tab/>
      </w:r>
      <w:r w:rsidRPr="00FB6CFB">
        <w:rPr>
          <w:b/>
        </w:rPr>
        <w:tab/>
      </w:r>
      <w:r w:rsidRPr="00FB6CFB">
        <w:rPr>
          <w:b/>
        </w:rPr>
        <w:tab/>
      </w:r>
      <w:r w:rsidR="00212207" w:rsidRPr="00FB6CFB">
        <w:rPr>
          <w:b/>
        </w:rPr>
        <w:tab/>
      </w:r>
      <w:r w:rsidRPr="00FB6CFB">
        <w:rPr>
          <w:b/>
        </w:rPr>
        <w:t xml:space="preserve">Dr Graham </w:t>
      </w:r>
      <w:r w:rsidR="000E42C1" w:rsidRPr="00FB6CFB">
        <w:rPr>
          <w:b/>
        </w:rPr>
        <w:t>Jackson</w:t>
      </w:r>
    </w:p>
    <w:p w14:paraId="566A8DA6" w14:textId="0ED29B31" w:rsidR="00212207" w:rsidRPr="00FB6CFB" w:rsidRDefault="00212207" w:rsidP="007601B5">
      <w:pPr>
        <w:pStyle w:val="Bodyparagraph"/>
      </w:pPr>
      <w:r w:rsidRPr="00FB6CFB">
        <w:t>Deput</w:t>
      </w:r>
      <w:r w:rsidR="00FB6CFB" w:rsidRPr="00FB6CFB">
        <w:t>y Chief Pharmaceutical Officer</w:t>
      </w:r>
      <w:r w:rsidR="00FB6CFB" w:rsidRPr="00FB6CFB">
        <w:tab/>
      </w:r>
      <w:r w:rsidR="00FB6CFB">
        <w:tab/>
      </w:r>
      <w:r w:rsidR="0009061E" w:rsidRPr="00FB6CFB">
        <w:t>Co-Chair</w:t>
      </w:r>
    </w:p>
    <w:p w14:paraId="3881A423" w14:textId="0D0EF8B2" w:rsidR="00212207" w:rsidRPr="00FB6CFB" w:rsidRDefault="00212207" w:rsidP="007601B5">
      <w:pPr>
        <w:pStyle w:val="Bodyparagraph"/>
      </w:pPr>
      <w:r w:rsidRPr="00FB6CFB">
        <w:t>NHS England</w:t>
      </w:r>
      <w:r w:rsidRPr="00FB6CFB">
        <w:tab/>
      </w:r>
      <w:r w:rsidRPr="00FB6CFB">
        <w:tab/>
      </w:r>
      <w:r w:rsidRPr="00FB6CFB">
        <w:tab/>
      </w:r>
      <w:r w:rsidRPr="00FB6CFB">
        <w:tab/>
      </w:r>
      <w:r w:rsidRPr="00FB6CFB">
        <w:tab/>
        <w:t>NHS Clinical Commissioners</w:t>
      </w:r>
    </w:p>
    <w:sectPr w:rsidR="00212207" w:rsidRPr="00FB6CFB" w:rsidSect="00DD3D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FEF"/>
    <w:multiLevelType w:val="multilevel"/>
    <w:tmpl w:val="2A2EA8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7446CE"/>
    <w:multiLevelType w:val="hybridMultilevel"/>
    <w:tmpl w:val="242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141"/>
    <w:multiLevelType w:val="hybridMultilevel"/>
    <w:tmpl w:val="E748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22B"/>
    <w:multiLevelType w:val="hybridMultilevel"/>
    <w:tmpl w:val="CBA63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834DD"/>
    <w:multiLevelType w:val="hybridMultilevel"/>
    <w:tmpl w:val="2798772A"/>
    <w:lvl w:ilvl="0" w:tplc="E0EEABC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4D5A"/>
    <w:multiLevelType w:val="multilevel"/>
    <w:tmpl w:val="8904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20820"/>
    <w:multiLevelType w:val="hybridMultilevel"/>
    <w:tmpl w:val="D194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322DE"/>
    <w:multiLevelType w:val="hybridMultilevel"/>
    <w:tmpl w:val="E9AA9CCC"/>
    <w:lvl w:ilvl="0" w:tplc="0C7A21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09E"/>
    <w:multiLevelType w:val="hybridMultilevel"/>
    <w:tmpl w:val="F930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E0BD9"/>
    <w:multiLevelType w:val="multilevel"/>
    <w:tmpl w:val="1BFC11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5C65F80"/>
    <w:multiLevelType w:val="hybridMultilevel"/>
    <w:tmpl w:val="E748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0441"/>
    <w:multiLevelType w:val="hybridMultilevel"/>
    <w:tmpl w:val="BEA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B78FD"/>
    <w:multiLevelType w:val="hybridMultilevel"/>
    <w:tmpl w:val="B388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15B2D"/>
    <w:multiLevelType w:val="hybridMultilevel"/>
    <w:tmpl w:val="222E99CA"/>
    <w:lvl w:ilvl="0" w:tplc="50C27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3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C8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8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E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A9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5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BF0982"/>
    <w:multiLevelType w:val="hybridMultilevel"/>
    <w:tmpl w:val="C0260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722A23"/>
    <w:multiLevelType w:val="multilevel"/>
    <w:tmpl w:val="7C6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3204D"/>
    <w:multiLevelType w:val="hybridMultilevel"/>
    <w:tmpl w:val="8D50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25A42"/>
    <w:multiLevelType w:val="hybridMultilevel"/>
    <w:tmpl w:val="D48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5371"/>
    <w:multiLevelType w:val="hybridMultilevel"/>
    <w:tmpl w:val="ABC0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C0F7A"/>
    <w:multiLevelType w:val="hybridMultilevel"/>
    <w:tmpl w:val="D6CABE58"/>
    <w:lvl w:ilvl="0" w:tplc="5906CF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125C"/>
    <w:multiLevelType w:val="hybridMultilevel"/>
    <w:tmpl w:val="8CE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61A29"/>
    <w:multiLevelType w:val="hybridMultilevel"/>
    <w:tmpl w:val="8F94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02CCC"/>
    <w:multiLevelType w:val="hybridMultilevel"/>
    <w:tmpl w:val="3198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B01B7"/>
    <w:multiLevelType w:val="hybridMultilevel"/>
    <w:tmpl w:val="E4984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B42267"/>
    <w:multiLevelType w:val="multilevel"/>
    <w:tmpl w:val="335A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73708"/>
    <w:multiLevelType w:val="hybridMultilevel"/>
    <w:tmpl w:val="C4C6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90EB0"/>
    <w:multiLevelType w:val="hybridMultilevel"/>
    <w:tmpl w:val="7DC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82E79"/>
    <w:multiLevelType w:val="hybridMultilevel"/>
    <w:tmpl w:val="E748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C1769"/>
    <w:multiLevelType w:val="hybridMultilevel"/>
    <w:tmpl w:val="834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E0A32"/>
    <w:multiLevelType w:val="hybridMultilevel"/>
    <w:tmpl w:val="B740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46960"/>
    <w:multiLevelType w:val="hybridMultilevel"/>
    <w:tmpl w:val="C80AE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D5841"/>
    <w:multiLevelType w:val="hybridMultilevel"/>
    <w:tmpl w:val="E19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C7F55"/>
    <w:multiLevelType w:val="hybridMultilevel"/>
    <w:tmpl w:val="8A62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30E90"/>
    <w:multiLevelType w:val="hybridMultilevel"/>
    <w:tmpl w:val="A6E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8"/>
  </w:num>
  <w:num w:numId="5">
    <w:abstractNumId w:val="11"/>
  </w:num>
  <w:num w:numId="6">
    <w:abstractNumId w:val="21"/>
  </w:num>
  <w:num w:numId="7">
    <w:abstractNumId w:val="26"/>
  </w:num>
  <w:num w:numId="8">
    <w:abstractNumId w:val="1"/>
  </w:num>
  <w:num w:numId="9">
    <w:abstractNumId w:val="16"/>
  </w:num>
  <w:num w:numId="10">
    <w:abstractNumId w:val="31"/>
  </w:num>
  <w:num w:numId="11">
    <w:abstractNumId w:val="12"/>
  </w:num>
  <w:num w:numId="12">
    <w:abstractNumId w:val="17"/>
  </w:num>
  <w:num w:numId="13">
    <w:abstractNumId w:val="20"/>
  </w:num>
  <w:num w:numId="14">
    <w:abstractNumId w:val="32"/>
  </w:num>
  <w:num w:numId="15">
    <w:abstractNumId w:val="29"/>
  </w:num>
  <w:num w:numId="16">
    <w:abstractNumId w:val="6"/>
  </w:num>
  <w:num w:numId="17">
    <w:abstractNumId w:val="33"/>
  </w:num>
  <w:num w:numId="18">
    <w:abstractNumId w:val="13"/>
  </w:num>
  <w:num w:numId="19">
    <w:abstractNumId w:val="30"/>
  </w:num>
  <w:num w:numId="20">
    <w:abstractNumId w:val="23"/>
  </w:num>
  <w:num w:numId="21">
    <w:abstractNumId w:val="15"/>
  </w:num>
  <w:num w:numId="22">
    <w:abstractNumId w:val="14"/>
  </w:num>
  <w:num w:numId="23">
    <w:abstractNumId w:val="4"/>
  </w:num>
  <w:num w:numId="24">
    <w:abstractNumId w:val="19"/>
  </w:num>
  <w:num w:numId="25">
    <w:abstractNumId w:val="7"/>
  </w:num>
  <w:num w:numId="26">
    <w:abstractNumId w:val="24"/>
  </w:num>
  <w:num w:numId="27">
    <w:abstractNumId w:val="28"/>
  </w:num>
  <w:num w:numId="28">
    <w:abstractNumId w:val="22"/>
  </w:num>
  <w:num w:numId="29">
    <w:abstractNumId w:val="10"/>
  </w:num>
  <w:num w:numId="30">
    <w:abstractNumId w:val="27"/>
  </w:num>
  <w:num w:numId="31">
    <w:abstractNumId w:val="2"/>
  </w:num>
  <w:num w:numId="32">
    <w:abstractNumId w:val="25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0"/>
    <w:rsid w:val="0009061E"/>
    <w:rsid w:val="000909C4"/>
    <w:rsid w:val="000A1F65"/>
    <w:rsid w:val="000D075F"/>
    <w:rsid w:val="000D5B3E"/>
    <w:rsid w:val="000E42C1"/>
    <w:rsid w:val="001228AB"/>
    <w:rsid w:val="00143A26"/>
    <w:rsid w:val="00145938"/>
    <w:rsid w:val="001461B6"/>
    <w:rsid w:val="00161295"/>
    <w:rsid w:val="00180F0C"/>
    <w:rsid w:val="00212207"/>
    <w:rsid w:val="00215E8B"/>
    <w:rsid w:val="002257F1"/>
    <w:rsid w:val="0022584F"/>
    <w:rsid w:val="002343C2"/>
    <w:rsid w:val="00262005"/>
    <w:rsid w:val="00285CA7"/>
    <w:rsid w:val="002B358D"/>
    <w:rsid w:val="002C7FDC"/>
    <w:rsid w:val="002F19D2"/>
    <w:rsid w:val="0030177D"/>
    <w:rsid w:val="003225FC"/>
    <w:rsid w:val="00331AC7"/>
    <w:rsid w:val="0033749E"/>
    <w:rsid w:val="00375495"/>
    <w:rsid w:val="003E28E8"/>
    <w:rsid w:val="004121B3"/>
    <w:rsid w:val="00424919"/>
    <w:rsid w:val="00467BFF"/>
    <w:rsid w:val="00472EDB"/>
    <w:rsid w:val="00483D76"/>
    <w:rsid w:val="00491781"/>
    <w:rsid w:val="004C6B20"/>
    <w:rsid w:val="00502AB4"/>
    <w:rsid w:val="00542E0A"/>
    <w:rsid w:val="00554530"/>
    <w:rsid w:val="0058521F"/>
    <w:rsid w:val="00645983"/>
    <w:rsid w:val="00683BE0"/>
    <w:rsid w:val="006A6BD7"/>
    <w:rsid w:val="00722BD4"/>
    <w:rsid w:val="007601B5"/>
    <w:rsid w:val="007B4D4A"/>
    <w:rsid w:val="007E5115"/>
    <w:rsid w:val="007F5E02"/>
    <w:rsid w:val="00834991"/>
    <w:rsid w:val="008B072E"/>
    <w:rsid w:val="008B17E0"/>
    <w:rsid w:val="008D778F"/>
    <w:rsid w:val="00902777"/>
    <w:rsid w:val="009267EB"/>
    <w:rsid w:val="00972529"/>
    <w:rsid w:val="009A64BB"/>
    <w:rsid w:val="009C2552"/>
    <w:rsid w:val="009D372C"/>
    <w:rsid w:val="00A438F2"/>
    <w:rsid w:val="00A55625"/>
    <w:rsid w:val="00A610EC"/>
    <w:rsid w:val="00A719C2"/>
    <w:rsid w:val="00AA6FF9"/>
    <w:rsid w:val="00AA74CE"/>
    <w:rsid w:val="00AB0B21"/>
    <w:rsid w:val="00AD07BF"/>
    <w:rsid w:val="00AE758D"/>
    <w:rsid w:val="00AF411B"/>
    <w:rsid w:val="00AF5924"/>
    <w:rsid w:val="00B44B9F"/>
    <w:rsid w:val="00C54488"/>
    <w:rsid w:val="00C645CA"/>
    <w:rsid w:val="00C67D4D"/>
    <w:rsid w:val="00C71655"/>
    <w:rsid w:val="00C73D0C"/>
    <w:rsid w:val="00C84F65"/>
    <w:rsid w:val="00CA453C"/>
    <w:rsid w:val="00DD3DFD"/>
    <w:rsid w:val="00E43608"/>
    <w:rsid w:val="00E465E2"/>
    <w:rsid w:val="00E62062"/>
    <w:rsid w:val="00E800CD"/>
    <w:rsid w:val="00EA145A"/>
    <w:rsid w:val="00EE4F39"/>
    <w:rsid w:val="00F53D0A"/>
    <w:rsid w:val="00F6536C"/>
    <w:rsid w:val="00F84D1E"/>
    <w:rsid w:val="00FB6CFB"/>
    <w:rsid w:val="00FC0FD8"/>
    <w:rsid w:val="00FE152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10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B2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B20"/>
    <w:pPr>
      <w:keepLines/>
      <w:pageBreakBefore/>
      <w:numPr>
        <w:numId w:val="1"/>
      </w:numPr>
      <w:spacing w:before="120" w:after="120"/>
      <w:jc w:val="both"/>
      <w:outlineLvl w:val="0"/>
    </w:pPr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B20"/>
    <w:pPr>
      <w:numPr>
        <w:ilvl w:val="1"/>
        <w:numId w:val="1"/>
      </w:numPr>
      <w:spacing w:before="240" w:after="120" w:line="360" w:lineRule="auto"/>
      <w:jc w:val="both"/>
      <w:outlineLvl w:val="1"/>
    </w:pPr>
    <w:rPr>
      <w:rFonts w:ascii="Arial" w:eastAsia="Times New Roman" w:hAnsi="Arial"/>
      <w:b/>
      <w:bCs/>
      <w:iCs/>
      <w:color w:val="A00054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B20"/>
    <w:pPr>
      <w:numPr>
        <w:ilvl w:val="2"/>
        <w:numId w:val="1"/>
      </w:numPr>
      <w:spacing w:before="240" w:after="120"/>
      <w:jc w:val="both"/>
      <w:outlineLvl w:val="2"/>
    </w:pPr>
    <w:rPr>
      <w:rFonts w:ascii="Arial" w:eastAsia="Times New Roman" w:hAnsi="Arial"/>
      <w:b/>
      <w:bCs/>
      <w:color w:val="0070C0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B20"/>
    <w:pPr>
      <w:keepNext/>
      <w:keepLines/>
      <w:numPr>
        <w:ilvl w:val="3"/>
        <w:numId w:val="1"/>
      </w:numPr>
      <w:spacing w:before="200" w:after="120"/>
      <w:jc w:val="both"/>
      <w:outlineLvl w:val="3"/>
    </w:pPr>
    <w:rPr>
      <w:rFonts w:ascii="Arial" w:eastAsiaTheme="majorEastAsia" w:hAnsi="Arial" w:cstheme="majorBidi"/>
      <w:iCs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6B20"/>
    <w:pPr>
      <w:keepNext/>
      <w:keepLines/>
      <w:numPr>
        <w:ilvl w:val="4"/>
        <w:numId w:val="1"/>
      </w:numPr>
      <w:spacing w:before="200" w:after="120"/>
      <w:jc w:val="both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B20"/>
    <w:pPr>
      <w:keepNext/>
      <w:keepLines/>
      <w:numPr>
        <w:ilvl w:val="5"/>
        <w:numId w:val="1"/>
      </w:numPr>
      <w:spacing w:before="200" w:after="120"/>
      <w:jc w:val="both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B20"/>
    <w:pPr>
      <w:keepNext/>
      <w:keepLines/>
      <w:numPr>
        <w:ilvl w:val="6"/>
        <w:numId w:val="1"/>
      </w:numPr>
      <w:spacing w:before="200" w:after="120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B20"/>
    <w:pPr>
      <w:keepNext/>
      <w:keepLines/>
      <w:numPr>
        <w:ilvl w:val="7"/>
        <w:numId w:val="1"/>
      </w:numPr>
      <w:spacing w:before="200" w:after="120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B20"/>
    <w:pPr>
      <w:keepNext/>
      <w:keepLines/>
      <w:numPr>
        <w:ilvl w:val="8"/>
        <w:numId w:val="1"/>
      </w:numPr>
      <w:spacing w:before="200" w:after="120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B20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6B20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C6B20"/>
    <w:rPr>
      <w:rFonts w:ascii="Arial" w:eastAsia="Times New Roman" w:hAnsi="Arial" w:cs="Times New Roman"/>
      <w:b/>
      <w:bCs/>
      <w:color w:val="0070C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C6B20"/>
    <w:rPr>
      <w:rFonts w:ascii="Arial" w:eastAsiaTheme="majorEastAsia" w:hAnsi="Arial" w:cstheme="majorBidi"/>
      <w:iCs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C6B20"/>
    <w:rPr>
      <w:rFonts w:asciiTheme="majorHAnsi" w:eastAsiaTheme="majorEastAsia" w:hAnsiTheme="majorHAnsi" w:cstheme="majorBidi"/>
      <w:bCs/>
      <w:color w:val="1F3763" w:themeColor="accent1" w:themeShade="7F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B20"/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B20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B2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B2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4C6B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C6B20"/>
    <w:pPr>
      <w:spacing w:before="100" w:beforeAutospacing="1" w:after="100" w:afterAutospacing="1"/>
    </w:pPr>
  </w:style>
  <w:style w:type="paragraph" w:customStyle="1" w:styleId="Bodyparagraph">
    <w:name w:val="Body paragraph"/>
    <w:basedOn w:val="ListParagraph"/>
    <w:autoRedefine/>
    <w:qFormat/>
    <w:rsid w:val="00CA453C"/>
    <w:pPr>
      <w:spacing w:after="0"/>
      <w:ind w:left="0"/>
    </w:pPr>
    <w:rPr>
      <w:rFonts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4C6B20"/>
    <w:rPr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4C6B20"/>
  </w:style>
  <w:style w:type="character" w:styleId="Emphasis">
    <w:name w:val="Emphasis"/>
    <w:basedOn w:val="DefaultParagraphFont"/>
    <w:uiPriority w:val="20"/>
    <w:qFormat/>
    <w:rsid w:val="004C6B20"/>
    <w:rPr>
      <w:i/>
      <w:iCs/>
    </w:rPr>
  </w:style>
  <w:style w:type="paragraph" w:styleId="NoSpacing">
    <w:name w:val="No Spacing"/>
    <w:uiPriority w:val="1"/>
    <w:qFormat/>
    <w:rsid w:val="009D372C"/>
    <w:rPr>
      <w:rFonts w:eastAsiaTheme="minorEastAsia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2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91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91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england.nhs.uk/medicines/conditions-for-which-over-the-counter-items-should-not-routinely-be-prescribed/" TargetMode="External"/><Relationship Id="rId8" Type="http://schemas.openxmlformats.org/officeDocument/2006/relationships/hyperlink" Target="https://www.nhs.uk/pages/home.aspx" TargetMode="External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3197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Boast</dc:creator>
  <cp:lastModifiedBy>Melanie Boast</cp:lastModifiedBy>
  <cp:revision>2</cp:revision>
  <dcterms:created xsi:type="dcterms:W3CDTF">2018-03-29T12:33:00Z</dcterms:created>
  <dcterms:modified xsi:type="dcterms:W3CDTF">2018-03-29T12:33:00Z</dcterms:modified>
</cp:coreProperties>
</file>